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7DCD6" w14:textId="77777777" w:rsidR="00AA05F7" w:rsidRDefault="00FD1A85">
      <w:pPr>
        <w:spacing w:before="200" w:after="80"/>
      </w:pPr>
      <w:r>
        <w:rPr>
          <w:b/>
          <w:bCs/>
          <w:color w:val="1F3864"/>
          <w:sz w:val="44"/>
          <w:szCs w:val="44"/>
        </w:rPr>
        <w:t>WDI 2026 Topic Scoring Criteria</w:t>
      </w:r>
    </w:p>
    <w:p w14:paraId="7997DCD7" w14:textId="77777777" w:rsidR="00AA05F7" w:rsidRDefault="00FD1A85">
      <w:pPr>
        <w:spacing w:after="300"/>
      </w:pPr>
      <w:r>
        <w:rPr>
          <w:b/>
          <w:bCs/>
          <w:color w:val="2E75B6"/>
          <w:sz w:val="36"/>
          <w:szCs w:val="36"/>
        </w:rPr>
        <w:t>Topic 28: High Risk Value Chain Areas</w:t>
      </w:r>
    </w:p>
    <w:p w14:paraId="7997DCD8" w14:textId="77777777" w:rsidR="00AA05F7" w:rsidRDefault="00AA05F7">
      <w:pPr>
        <w:pBdr>
          <w:bottom w:val="single" w:sz="4" w:space="1" w:color="D9D9D9"/>
        </w:pBdr>
        <w:spacing w:before="240" w:after="240"/>
      </w:pPr>
    </w:p>
    <w:p w14:paraId="7997DCD9" w14:textId="77777777" w:rsidR="00AA05F7" w:rsidRDefault="00FD1A85">
      <w:pPr>
        <w:pStyle w:val="Heading1"/>
        <w:spacing w:before="360" w:after="160"/>
      </w:pPr>
      <w:r>
        <w:rPr>
          <w:b/>
          <w:bCs/>
          <w:color w:val="1F3864"/>
          <w:sz w:val="34"/>
          <w:szCs w:val="34"/>
        </w:rPr>
        <w:t>1. Topic Overview</w:t>
      </w:r>
    </w:p>
    <w:p w14:paraId="7997DCDA" w14:textId="77777777" w:rsidR="00AA05F7" w:rsidRDefault="00FD1A85">
      <w:pPr>
        <w:spacing w:before="80" w:after="80"/>
      </w:pPr>
      <w:r>
        <w:rPr>
          <w:color w:val="1A1A1A"/>
        </w:rPr>
        <w:t>This topic assesses the company’s understanding of high-risk areas in its value chain — specifically, whether it has identified products, services, or raw materials at any stage of the value chain that are potentially or actually exposed to heightened risks of forced labour, modern slavery, human trafficking, or child labour. It also assesses whether the company uses and evaluates incentives for responsible sourcing.</w:t>
      </w:r>
    </w:p>
    <w:p w14:paraId="7997DCDB" w14:textId="77777777" w:rsidR="00AA05F7" w:rsidRDefault="00FD1A85">
      <w:pPr>
        <w:spacing w:before="80" w:after="80"/>
      </w:pPr>
      <w:r>
        <w:rPr>
          <w:color w:val="1A1A1A"/>
        </w:rPr>
        <w:t>The topic is scored using a single question: Q11.9 (high-risk VC areas, table, ALWAYS applicable). Q11.C is excluded from scoring.</w:t>
      </w:r>
    </w:p>
    <w:p w14:paraId="7997DCDC" w14:textId="77777777" w:rsidR="00AA05F7" w:rsidRDefault="00FD1A85">
      <w:pPr>
        <w:pStyle w:val="Heading2"/>
        <w:spacing w:before="280" w:after="120"/>
      </w:pPr>
      <w:r>
        <w:rPr>
          <w:b/>
          <w:bCs/>
          <w:color w:val="2E75B6"/>
        </w:rPr>
        <w:t>Single Question, Three Dimensions: How Q11.9 Is Split</w:t>
      </w:r>
    </w:p>
    <w:p w14:paraId="7997DCDD" w14:textId="77777777" w:rsidR="00AA05F7" w:rsidRDefault="00FD1A85">
      <w:pPr>
        <w:spacing w:before="80" w:after="80"/>
      </w:pPr>
      <w:r>
        <w:rPr>
          <w:color w:val="1A1A1A"/>
        </w:rPr>
        <w:t>Q11.9 is a single table question, but its guidance spans all three dimensions. The four fixed rows of Table Q11.9 correspond to four risk types: Forced Labour, Modern Slavery, Human Trafficking, and Child Labour. For each risk type, the company selects whether exposure applies to products, services, and/or raw materials; indicates whether those items are critical to business continuity (Yes/No); and provides a 300-word details field specifying the relevant products/services/raw materials and the nature of r</w:t>
      </w:r>
      <w:r>
        <w:rPr>
          <w:color w:val="1A1A1A"/>
        </w:rPr>
        <w:t>isk exposure. This table content is Awareness evidence. G2 adds a further layer: the methods used to assess the efficacy of incentives in encouraging responsible sourcing. The methodology for assessing incentive efficacy is Approach evidence; the implementation and assessment of those incentives in practice is Action evidence.</w:t>
      </w:r>
    </w:p>
    <w:p w14:paraId="7997DCDE" w14:textId="77777777" w:rsidR="00AA05F7" w:rsidRDefault="00FD1A85">
      <w:pPr>
        <w:pStyle w:val="Heading2"/>
        <w:spacing w:before="280" w:after="120"/>
      </w:pPr>
      <w:r>
        <w:rPr>
          <w:b/>
          <w:bCs/>
          <w:color w:val="2E75B6"/>
        </w:rPr>
        <w:t>Stating ‘No Exposure’ Is Awareness Evidence</w:t>
      </w:r>
    </w:p>
    <w:p w14:paraId="7997DCDF" w14:textId="77777777" w:rsidR="00AA05F7" w:rsidRDefault="00FD1A85">
      <w:pPr>
        <w:spacing w:before="80" w:after="80"/>
      </w:pPr>
      <w:r>
        <w:rPr>
          <w:color w:val="1A1A1A"/>
        </w:rPr>
        <w:t>A company that has genuinely assessed all four risk types and found no exposure should still engage with the table — leaving the exposure dropdowns blank without explanation is not the same as having assessed the risk and found nothing. A company that selects no exposure types but provides a brief explanation in the details column (e.g., ‘We have assessed forced labour risk across our Tier 1 suppliers and found no identified exposure due to our sourcing geography and product type’) demonstrates Awareness. A</w:t>
      </w:r>
      <w:r>
        <w:rPr>
          <w:color w:val="1A1A1A"/>
        </w:rPr>
        <w:t xml:space="preserve"> completely blank table does not.</w:t>
      </w:r>
    </w:p>
    <w:p w14:paraId="7997DCE0" w14:textId="77777777" w:rsidR="00AA05F7" w:rsidRDefault="00FD1A85">
      <w:pPr>
        <w:pStyle w:val="Heading2"/>
        <w:spacing w:before="280" w:after="120"/>
      </w:pPr>
      <w:r>
        <w:rPr>
          <w:b/>
          <w:bCs/>
          <w:color w:val="2E75B6"/>
        </w:rPr>
        <w:t>3A Dimension Mapping</w:t>
      </w:r>
    </w:p>
    <w:p w14:paraId="7997DCE1" w14:textId="77777777" w:rsidR="00AA05F7" w:rsidRDefault="00FD1A85">
      <w:pPr>
        <w:spacing w:before="80" w:after="80"/>
      </w:pPr>
      <w:r>
        <w:rPr>
          <w:color w:val="1A1A1A"/>
        </w:rPr>
        <w:t>Awareness: Q11.9 G1 elements — identifying which risk types apply, which exposure types (products, services, raw materials) are involved, business criticality, and the nature of risk exposure for each risk type. Approach: Q11.9 G2 — the methods used to assess the efficacy of incentives in encouraging responsible sourcing, including whether incentives are linked to the identification of salient human and labour rights issues in the value chain. Action: Q11.9 G2 — the incentives are actually implemented and i</w:t>
      </w:r>
      <w:r>
        <w:rPr>
          <w:color w:val="1A1A1A"/>
        </w:rPr>
        <w:t>n operation, and their efficacy has been assessed (evidence of implemented practice, not merely a described system).</w:t>
      </w:r>
    </w:p>
    <w:p w14:paraId="7997DCE2" w14:textId="77777777" w:rsidR="00AA05F7" w:rsidRDefault="00FD1A85">
      <w:pPr>
        <w:spacing w:before="80" w:after="60"/>
      </w:pPr>
      <w:r>
        <w:rPr>
          <w:i/>
          <w:iCs/>
          <w:color w:val="666666"/>
          <w:sz w:val="17"/>
          <w:szCs w:val="17"/>
        </w:rPr>
        <w:t>Q11.C (Notes on High risk value chain areas) is excluded from scoring.</w:t>
      </w:r>
    </w:p>
    <w:p w14:paraId="7997DCE3" w14:textId="77777777" w:rsidR="00AA05F7" w:rsidRDefault="00AA05F7">
      <w:pPr>
        <w:pBdr>
          <w:bottom w:val="single" w:sz="4" w:space="1" w:color="D9D9D9"/>
        </w:pBdr>
        <w:spacing w:before="240" w:after="240"/>
      </w:pPr>
    </w:p>
    <w:p w14:paraId="7997DCE4" w14:textId="77777777" w:rsidR="00AA05F7" w:rsidRDefault="00FD1A85">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AA05F7" w14:paraId="7997DCE8"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7997DCE5" w14:textId="77777777" w:rsidR="00AA05F7" w:rsidRDefault="00FD1A85">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7997DCE6" w14:textId="77777777" w:rsidR="00AA05F7" w:rsidRDefault="00FD1A85">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7997DCE7" w14:textId="77777777" w:rsidR="00AA05F7" w:rsidRDefault="00FD1A85">
            <w:pPr>
              <w:jc w:val="center"/>
            </w:pPr>
            <w:r>
              <w:rPr>
                <w:b/>
                <w:bCs/>
                <w:color w:val="FFFFFF"/>
                <w:sz w:val="17"/>
                <w:szCs w:val="17"/>
              </w:rPr>
              <w:t>ACTION</w:t>
            </w:r>
          </w:p>
        </w:tc>
      </w:tr>
      <w:tr w:rsidR="00AA05F7" w14:paraId="7997DCEC"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CE9" w14:textId="77777777" w:rsidR="00AA05F7" w:rsidRDefault="00FD1A85">
            <w:pPr>
              <w:spacing w:before="20" w:after="20"/>
            </w:pPr>
            <w:r>
              <w:rPr>
                <w:color w:val="1A1A1A"/>
                <w:sz w:val="18"/>
                <w:szCs w:val="18"/>
              </w:rPr>
              <w:t xml:space="preserve">Awareness is assessed entirely from the G1 elements of Q11.9: the identification of high-risk areas, </w:t>
            </w:r>
            <w:r>
              <w:rPr>
                <w:color w:val="1A1A1A"/>
                <w:sz w:val="18"/>
                <w:szCs w:val="18"/>
              </w:rPr>
              <w:lastRenderedPageBreak/>
              <w:t>products/services/raw materials, business criticality, and nature of risk exposure.  Table Q11.9 has four fixed rows (Forced Labour, Modern Slavery, Human Trafficking, Child Labour). For each row, Awareness evidence comes from: (1) The exposure type dropdown — whether the company selects products, services, and/or raw materials as potential or existing areas of exposure for each risk type, or explicitly engages with the row to indicate no exposure. (2) Business criticality column (Yes/No) — whether the iden</w:t>
            </w:r>
            <w:r>
              <w:rPr>
                <w:color w:val="1A1A1A"/>
                <w:sz w:val="18"/>
                <w:szCs w:val="18"/>
              </w:rPr>
              <w:t>tified products/services/raw materials are critical to business continuity. This provides context on the severity and substitutability of the risk. (3) Details column (300 words per risk type) — specifying the relevant products, services, or raw materials involved and the nature of potential or actual risk exposure.  Scoring: the depth and specificity of identification across all four risk types determines the Awareness score. A company that has assessed all four risk types and named specific products, serv</w:t>
            </w:r>
            <w:r>
              <w:rPr>
                <w:color w:val="1A1A1A"/>
                <w:sz w:val="18"/>
                <w:szCs w:val="18"/>
              </w:rPr>
              <w:t>ices, or raw materials for each applicable risk type demonstrates stronger recognition than one that provides only high-level exposure type selections.  Note: a company that has identified no exposure to any risk type should still demonstrate engagement with the table by explaining the basis for that conclusion in the details column.  Primary evidence: exposure type selections, business criticality Yes/No responses, and details field content per risk type row.</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CEA" w14:textId="77777777" w:rsidR="00AA05F7" w:rsidRDefault="00FD1A85">
            <w:pPr>
              <w:spacing w:before="20" w:after="20"/>
            </w:pPr>
            <w:r>
              <w:rPr>
                <w:color w:val="1A1A1A"/>
                <w:sz w:val="18"/>
                <w:szCs w:val="18"/>
              </w:rPr>
              <w:lastRenderedPageBreak/>
              <w:t xml:space="preserve">Approach is assessed from the G2 element of Q11.9: the methods used to assess the efficacy of incentives in </w:t>
            </w:r>
            <w:r>
              <w:rPr>
                <w:color w:val="1A1A1A"/>
                <w:sz w:val="18"/>
                <w:szCs w:val="18"/>
              </w:rPr>
              <w:lastRenderedPageBreak/>
              <w:t>encouraging responsible sourcing.  The G2 guidance specifically asks for: ‘the methods used to assess the efficacy of incentives in encouraging responsible sourcing (such as whether incentives are linked to the identification of salient human and labour rights issues in the value chain).’  This is methodology/process evidence — describing how the company evaluates whether its responsible sourcing incentives are working. The guidance example (‘whether incentives are linked to identification of salient HR iss</w:t>
            </w:r>
            <w:r>
              <w:rPr>
                <w:color w:val="1A1A1A"/>
                <w:sz w:val="18"/>
                <w:szCs w:val="18"/>
              </w:rPr>
              <w:t>ues’) indicates that the methodology should address how the company determines whether incentive structures are driving meaningful outcomes.  Because this is a single G2 source with limited gradation (either a methodology is described or it isn’t, with some quality variation), the scale is 0, 1, 5: no methodology described / mentions assessment exists without describing the method / substantively describes how incentive efficacy is assessed.  Primary evidence: the description of incentive efficacy assessmen</w:t>
            </w:r>
            <w:r>
              <w:rPr>
                <w:color w:val="1A1A1A"/>
                <w:sz w:val="18"/>
                <w:szCs w:val="18"/>
              </w:rPr>
              <w:t>t methodology in Q11.9 G2.</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CEB" w14:textId="77777777" w:rsidR="00AA05F7" w:rsidRDefault="00FD1A85">
            <w:pPr>
              <w:spacing w:before="20" w:after="20"/>
            </w:pPr>
            <w:r>
              <w:rPr>
                <w:color w:val="1A1A1A"/>
                <w:sz w:val="18"/>
                <w:szCs w:val="18"/>
              </w:rPr>
              <w:lastRenderedPageBreak/>
              <w:t xml:space="preserve">Action is assessed from the G2 element of Q11.9: evidence that responsible sourcing incentives are </w:t>
            </w:r>
            <w:r>
              <w:rPr>
                <w:color w:val="1A1A1A"/>
                <w:sz w:val="18"/>
                <w:szCs w:val="18"/>
              </w:rPr>
              <w:lastRenderedPageBreak/>
              <w:t xml:space="preserve">implemented in practice and that their efficacy has been assessed.  The Action evidence is distinct from Approach: Approach = the methodology for assessing incentive efficacy (the system); Action = evidence that incentives are actually in operation AND that an efficacy assessment has been conducted (the implemented practice and its outcomes).  Because Action draws from a single G2 element where the distinction is primarily whether incentives are operational (not just planned or described as a methodology), </w:t>
            </w:r>
            <w:r>
              <w:rPr>
                <w:color w:val="1A1A1A"/>
                <w:sz w:val="18"/>
                <w:szCs w:val="18"/>
              </w:rPr>
              <w:t>the scale is 0, 1, 5: no evidence of incentives in operation / mentions incentives exist or are planned but efficacy not assessed / incentives confirmed operational AND efficacy assessment has been conducted.  Primary evidence: Q11.9 G2 confirmation that incentives are in operation and that an assessment of their efficacy has taken place.</w:t>
            </w:r>
          </w:p>
        </w:tc>
      </w:tr>
    </w:tbl>
    <w:p w14:paraId="7997DCED" w14:textId="77777777" w:rsidR="00AA05F7" w:rsidRDefault="00AA05F7">
      <w:pPr>
        <w:pBdr>
          <w:bottom w:val="single" w:sz="4" w:space="1" w:color="D9D9D9"/>
        </w:pBdr>
        <w:spacing w:before="240" w:after="240"/>
      </w:pPr>
    </w:p>
    <w:p w14:paraId="7997DCEE" w14:textId="77777777" w:rsidR="00AA05F7" w:rsidRDefault="00FD1A85">
      <w:pPr>
        <w:pStyle w:val="Heading1"/>
        <w:spacing w:before="360" w:after="160"/>
      </w:pPr>
      <w:r>
        <w:rPr>
          <w:b/>
          <w:bCs/>
          <w:color w:val="1F3864"/>
          <w:sz w:val="34"/>
          <w:szCs w:val="34"/>
        </w:rPr>
        <w:t>3. Scoring Rubric — All Dimensions</w:t>
      </w:r>
    </w:p>
    <w:p w14:paraId="7997DCEF" w14:textId="77777777" w:rsidR="00AA05F7" w:rsidRDefault="00FD1A85">
      <w:pPr>
        <w:spacing w:before="80" w:after="60"/>
      </w:pPr>
      <w:r>
        <w:rPr>
          <w:i/>
          <w:iCs/>
          <w:color w:val="666666"/>
          <w:sz w:val="17"/>
          <w:szCs w:val="17"/>
        </w:rPr>
        <w:t>Awareness uses 0,1,2,3,5 (single question, single table, four risk type rows with three evidence elements each). Approach uses 0,1,5 (single G2 methodology element with limited gradation). Action uses 0,1,5 (single G2 implementation element — incentives operational and efficacy assessed). All three dimensions draw from the same question.</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6"/>
        <w:gridCol w:w="677"/>
        <w:gridCol w:w="1190"/>
        <w:gridCol w:w="3667"/>
        <w:gridCol w:w="2690"/>
      </w:tblGrid>
      <w:tr w:rsidR="00AA05F7" w14:paraId="7997DCF6"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CF0" w14:textId="77777777" w:rsidR="00AA05F7" w:rsidRDefault="00FD1A85">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CF1" w14:textId="77777777" w:rsidR="00AA05F7" w:rsidRDefault="00FD1A85">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CF2" w14:textId="77777777" w:rsidR="00AA05F7" w:rsidRDefault="00FD1A85">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CF3" w14:textId="77777777" w:rsidR="00AA05F7" w:rsidRDefault="00FD1A85">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CF4" w14:textId="77777777" w:rsidR="00AA05F7" w:rsidRDefault="00FD1A85">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CF5" w14:textId="77777777" w:rsidR="00AA05F7" w:rsidRDefault="00FD1A85">
            <w:pPr>
              <w:jc w:val="center"/>
            </w:pPr>
            <w:r>
              <w:rPr>
                <w:b/>
                <w:bCs/>
                <w:color w:val="FFFFFF"/>
                <w:sz w:val="15"/>
                <w:szCs w:val="15"/>
              </w:rPr>
              <w:t>Next Step</w:t>
            </w:r>
          </w:p>
        </w:tc>
      </w:tr>
      <w:tr w:rsidR="00AA05F7" w14:paraId="7997DCF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CF7" w14:textId="77777777" w:rsidR="00AA05F7" w:rsidRDefault="00FD1A85">
            <w:pPr>
              <w:spacing w:before="20" w:after="20"/>
              <w:jc w:val="center"/>
            </w:pPr>
            <w:r>
              <w:rPr>
                <w:b/>
                <w:bCs/>
                <w:color w:val="1A1A1A"/>
                <w:sz w:val="17"/>
                <w:szCs w:val="17"/>
              </w:rPr>
              <w:t>28</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CF8" w14:textId="77777777" w:rsidR="00AA05F7" w:rsidRDefault="00FD1A85">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CF9" w14:textId="77777777" w:rsidR="00AA05F7" w:rsidRDefault="00FD1A85">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CFA" w14:textId="77777777" w:rsidR="00AA05F7" w:rsidRDefault="00FD1A85">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CFB" w14:textId="77777777" w:rsidR="00AA05F7" w:rsidRDefault="00FD1A85">
            <w:pPr>
              <w:spacing w:before="20" w:after="20"/>
            </w:pPr>
            <w:r>
              <w:rPr>
                <w:color w:val="1A1A1A"/>
                <w:sz w:val="18"/>
                <w:szCs w:val="18"/>
              </w:rPr>
              <w:t>Q11.9 is entirely blank — all four risk type rows have no exposure selections, no business criticality responses, and no details provided. The company provides no indication of whether it has considered any of the four risk types in its value chain.</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CFC" w14:textId="77777777" w:rsidR="00AA05F7" w:rsidRDefault="00FD1A85">
            <w:pPr>
              <w:spacing w:before="20" w:after="20"/>
            </w:pPr>
            <w:r>
              <w:rPr>
                <w:i/>
                <w:iCs/>
                <w:color w:val="1A1A1A"/>
                <w:sz w:val="17"/>
                <w:szCs w:val="17"/>
              </w:rPr>
              <w:t xml:space="preserve">Engage with all four rows of Q11.9. For each risk type, either select the applicable exposure types (products, services, raw materials) if exposure exists, or use the details column to explain the basis for concluding </w:t>
            </w:r>
            <w:r>
              <w:rPr>
                <w:i/>
                <w:iCs/>
                <w:color w:val="1A1A1A"/>
                <w:sz w:val="17"/>
                <w:szCs w:val="17"/>
              </w:rPr>
              <w:lastRenderedPageBreak/>
              <w:t>no exposure applies to that risk type.</w:t>
            </w:r>
          </w:p>
        </w:tc>
      </w:tr>
      <w:tr w:rsidR="00AA05F7" w14:paraId="7997DD0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CFE" w14:textId="77777777" w:rsidR="00AA05F7" w:rsidRDefault="00FD1A85">
            <w:pPr>
              <w:spacing w:before="20" w:after="20"/>
              <w:jc w:val="center"/>
            </w:pPr>
            <w:r>
              <w:rPr>
                <w:b/>
                <w:bCs/>
                <w:color w:val="1A1A1A"/>
                <w:sz w:val="17"/>
                <w:szCs w:val="17"/>
              </w:rPr>
              <w:lastRenderedPageBreak/>
              <w:t>28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CFF" w14:textId="77777777" w:rsidR="00AA05F7" w:rsidRDefault="00FD1A85">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00" w14:textId="77777777" w:rsidR="00AA05F7" w:rsidRDefault="00FD1A85">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01" w14:textId="77777777" w:rsidR="00AA05F7" w:rsidRDefault="00FD1A85">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997DD02" w14:textId="77777777" w:rsidR="00AA05F7" w:rsidRDefault="00FD1A85">
            <w:pPr>
              <w:spacing w:before="20" w:after="20"/>
            </w:pPr>
            <w:r>
              <w:rPr>
                <w:color w:val="1A1A1A"/>
                <w:sz w:val="18"/>
                <w:szCs w:val="18"/>
              </w:rPr>
              <w:t>Q11.9 has at least one row with an exposure type selection (products, services, and/or raw materials) for at least one risk type, but without a business criticality response or details on the specific products/services/materials and nature of risk. Alternatively, the table has some content but only for 1–2 of the four risk types, with the others left blank.</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997DD03" w14:textId="77777777" w:rsidR="00AA05F7" w:rsidRDefault="00FD1A85">
            <w:pPr>
              <w:spacing w:before="20" w:after="20"/>
            </w:pPr>
            <w:r>
              <w:rPr>
                <w:i/>
                <w:iCs/>
                <w:color w:val="1A1A1A"/>
                <w:sz w:val="17"/>
                <w:szCs w:val="17"/>
              </w:rPr>
              <w:t>For each risk type where exposure has been identified, complete the business criticality column (Yes/No) and use the details column to specify which products, services, or raw materials are involved and what the nature of the risk exposure is. Engage with all four risk type rows.</w:t>
            </w:r>
          </w:p>
        </w:tc>
      </w:tr>
      <w:tr w:rsidR="00AA05F7" w14:paraId="7997DD0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D05" w14:textId="77777777" w:rsidR="00AA05F7" w:rsidRDefault="00FD1A85">
            <w:pPr>
              <w:spacing w:before="20" w:after="20"/>
              <w:jc w:val="center"/>
            </w:pPr>
            <w:r>
              <w:rPr>
                <w:b/>
                <w:bCs/>
                <w:color w:val="1A1A1A"/>
                <w:sz w:val="17"/>
                <w:szCs w:val="17"/>
              </w:rPr>
              <w:t>28</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D06" w14:textId="77777777" w:rsidR="00AA05F7" w:rsidRDefault="00FD1A85">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D07" w14:textId="77777777" w:rsidR="00AA05F7" w:rsidRDefault="00FD1A85">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D08" w14:textId="77777777" w:rsidR="00AA05F7" w:rsidRDefault="00FD1A85">
            <w:pPr>
              <w:spacing w:before="20" w:after="20"/>
            </w:pPr>
            <w:r>
              <w:rPr>
                <w:i/>
                <w:iCs/>
                <w:color w:val="1A1A1A"/>
                <w:sz w:val="17"/>
                <w:szCs w:val="17"/>
              </w:rPr>
              <w:t>Basic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09" w14:textId="77777777" w:rsidR="00AA05F7" w:rsidRDefault="00FD1A85">
            <w:pPr>
              <w:spacing w:before="20" w:after="20"/>
            </w:pPr>
            <w:r>
              <w:rPr>
                <w:color w:val="1A1A1A"/>
                <w:sz w:val="18"/>
                <w:szCs w:val="18"/>
              </w:rPr>
              <w:t>Q11.9 engages with 2–3 risk type rows with exposure type selections AND business criticality responses, but either: the details column is missing or very thin for most rows (names exposure type but does not specify products/services/materials or nature of risk); or one or two risk type rows are left blank without explanation. Some recognition exists but the risk identification is incomplete.</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0A" w14:textId="77777777" w:rsidR="00AA05F7" w:rsidRDefault="00FD1A85">
            <w:pPr>
              <w:spacing w:before="20" w:after="20"/>
            </w:pPr>
            <w:r>
              <w:rPr>
                <w:i/>
                <w:iCs/>
                <w:color w:val="1A1A1A"/>
                <w:sz w:val="17"/>
                <w:szCs w:val="17"/>
              </w:rPr>
              <w:t>Complete the details column for all risk type rows where exposure has been identified — specify the relevant products, services, or raw materials and the nature of the risk exposure. For risk types with no identified exposure, add a brief explanation in the details column.</w:t>
            </w:r>
          </w:p>
        </w:tc>
      </w:tr>
      <w:tr w:rsidR="00AA05F7" w14:paraId="7997DD1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0C" w14:textId="77777777" w:rsidR="00AA05F7" w:rsidRDefault="00FD1A85">
            <w:pPr>
              <w:spacing w:before="20" w:after="20"/>
              <w:jc w:val="center"/>
            </w:pPr>
            <w:r>
              <w:rPr>
                <w:b/>
                <w:bCs/>
                <w:color w:val="1A1A1A"/>
                <w:sz w:val="17"/>
                <w:szCs w:val="17"/>
              </w:rPr>
              <w:t>28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0D" w14:textId="77777777" w:rsidR="00AA05F7" w:rsidRDefault="00FD1A85">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0E" w14:textId="77777777" w:rsidR="00AA05F7" w:rsidRDefault="00FD1A85">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0F" w14:textId="77777777" w:rsidR="00AA05F7" w:rsidRDefault="00FD1A85">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997DD10" w14:textId="77777777" w:rsidR="00AA05F7" w:rsidRDefault="00FD1A85">
            <w:pPr>
              <w:spacing w:before="20" w:after="20"/>
            </w:pPr>
            <w:r>
              <w:rPr>
                <w:color w:val="1A1A1A"/>
                <w:sz w:val="18"/>
                <w:szCs w:val="18"/>
              </w:rPr>
              <w:t>Q11.9 engages with all four risk type rows with exposure type selections AND business criticality responses AND at least basic details content (names relevant products/services/materials) for the majority of rows. The company has addressed all four risk types, even if the detail depth varies across rows.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997DD11" w14:textId="77777777" w:rsidR="00AA05F7" w:rsidRDefault="00FD1A85">
            <w:pPr>
              <w:spacing w:before="20" w:after="20"/>
            </w:pPr>
            <w:r>
              <w:rPr>
                <w:i/>
                <w:iCs/>
                <w:color w:val="1A1A1A"/>
                <w:sz w:val="17"/>
                <w:szCs w:val="17"/>
              </w:rPr>
              <w:t>For score 5 (AND): ensure the details column for each applicable risk type row specifies both the relevant products/services/raw materials AND the nature of the risk exposure with specificity (e.g., geographic sourcing context, industry risk factors, historical incidents, or supplier risk profile).</w:t>
            </w:r>
          </w:p>
        </w:tc>
      </w:tr>
      <w:tr w:rsidR="00AA05F7" w14:paraId="7997DD1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D13" w14:textId="77777777" w:rsidR="00AA05F7" w:rsidRDefault="00FD1A85">
            <w:pPr>
              <w:spacing w:before="20" w:after="20"/>
              <w:jc w:val="center"/>
            </w:pPr>
            <w:r>
              <w:rPr>
                <w:b/>
                <w:bCs/>
                <w:color w:val="1A1A1A"/>
                <w:sz w:val="17"/>
                <w:szCs w:val="17"/>
              </w:rPr>
              <w:t>28</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D14" w14:textId="77777777" w:rsidR="00AA05F7" w:rsidRDefault="00FD1A85">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D15" w14:textId="77777777" w:rsidR="00AA05F7" w:rsidRDefault="00FD1A85">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997DD16" w14:textId="77777777" w:rsidR="00AA05F7" w:rsidRDefault="00FD1A85">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17" w14:textId="77777777" w:rsidR="00AA05F7" w:rsidRDefault="00FD1A85">
            <w:pPr>
              <w:spacing w:before="20" w:after="20"/>
            </w:pPr>
            <w:r>
              <w:rPr>
                <w:color w:val="1A1A1A"/>
                <w:sz w:val="18"/>
                <w:szCs w:val="18"/>
              </w:rPr>
              <w:t>AND across all four rows: all four risk type rows (Forced Labour, Modern Slavery, Human Trafficking, Child Labour) have exposure type selections AND business criticality responses AND substantive details content that specifies both (1) the relevant products, services, or raw materials involved; AND (2) the nature of the potential or actual risk exposure for each risk type. For risk types with no identified exposure, the details column explains the basis for that conclusion.</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18" w14:textId="77777777" w:rsidR="00AA05F7" w:rsidRDefault="00FD1A85">
            <w:pPr>
              <w:spacing w:before="20" w:after="20"/>
            </w:pPr>
            <w:r>
              <w:rPr>
                <w:i/>
                <w:iCs/>
                <w:color w:val="1A1A1A"/>
                <w:sz w:val="17"/>
                <w:szCs w:val="17"/>
              </w:rPr>
              <w:t>Highest level achieved. Update the risk assessment annually as the value chain evolves and new exposure risks are identified or resolved.</w:t>
            </w:r>
          </w:p>
        </w:tc>
      </w:tr>
      <w:tr w:rsidR="00AA05F7" w14:paraId="7997DD2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997DD1A" w14:textId="77777777" w:rsidR="00AA05F7" w:rsidRDefault="00FD1A85">
            <w:pPr>
              <w:spacing w:before="20" w:after="20"/>
              <w:jc w:val="center"/>
            </w:pPr>
            <w:r>
              <w:rPr>
                <w:b/>
                <w:bCs/>
                <w:color w:val="1A1A1A"/>
                <w:sz w:val="17"/>
                <w:szCs w:val="17"/>
              </w:rPr>
              <w:t>28</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997DD1B" w14:textId="77777777" w:rsidR="00AA05F7" w:rsidRDefault="00FD1A85">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997DD1C" w14:textId="77777777" w:rsidR="00AA05F7" w:rsidRDefault="00FD1A85">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997DD1D" w14:textId="77777777" w:rsidR="00AA05F7" w:rsidRDefault="00FD1A85">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1E" w14:textId="77777777" w:rsidR="00AA05F7" w:rsidRDefault="00FD1A85">
            <w:pPr>
              <w:spacing w:before="20" w:after="20"/>
            </w:pPr>
            <w:r>
              <w:rPr>
                <w:color w:val="1A1A1A"/>
                <w:sz w:val="18"/>
                <w:szCs w:val="18"/>
              </w:rPr>
              <w:t>Q11.9 G2 is not addressed — the company provides no information on how it assesses the efficacy of incentives in encouraging responsible sourcing.</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1F" w14:textId="77777777" w:rsidR="00AA05F7" w:rsidRDefault="00FD1A85">
            <w:pPr>
              <w:spacing w:before="20" w:after="20"/>
            </w:pPr>
            <w:r>
              <w:rPr>
                <w:i/>
                <w:iCs/>
                <w:color w:val="1A1A1A"/>
                <w:sz w:val="17"/>
                <w:szCs w:val="17"/>
              </w:rPr>
              <w:t>In Q11.9, describe the methods used to assess whether the company’s responsible sourcing incentives are effective — for example, how the company determines whether incentive structures are linked to the identification of salient human and labour rights issues in its value chain.</w:t>
            </w:r>
          </w:p>
        </w:tc>
      </w:tr>
      <w:tr w:rsidR="00AA05F7" w14:paraId="7997DD2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21" w14:textId="77777777" w:rsidR="00AA05F7" w:rsidRDefault="00FD1A85">
            <w:pPr>
              <w:spacing w:before="20" w:after="20"/>
              <w:jc w:val="center"/>
            </w:pPr>
            <w:r>
              <w:rPr>
                <w:b/>
                <w:bCs/>
                <w:color w:val="1A1A1A"/>
                <w:sz w:val="17"/>
                <w:szCs w:val="17"/>
              </w:rPr>
              <w:lastRenderedPageBreak/>
              <w:t>28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22" w14:textId="77777777" w:rsidR="00AA05F7" w:rsidRDefault="00FD1A85">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23" w14:textId="77777777" w:rsidR="00AA05F7" w:rsidRDefault="00FD1A85">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24" w14:textId="77777777" w:rsidR="00AA05F7" w:rsidRDefault="00FD1A85">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997DD25" w14:textId="77777777" w:rsidR="00AA05F7" w:rsidRDefault="00FD1A85">
            <w:pPr>
              <w:spacing w:before="20" w:after="20"/>
            </w:pPr>
            <w:r>
              <w:rPr>
                <w:color w:val="1A1A1A"/>
                <w:sz w:val="18"/>
                <w:szCs w:val="18"/>
              </w:rPr>
              <w:t>Q11.9 mentions that incentive efficacy is assessed, or that responsible sourcing incentives exist, but does not describe the method or how efficacy is evaluated. The existence of assessment is stated but the methodology is not described.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997DD26" w14:textId="77777777" w:rsidR="00AA05F7" w:rsidRDefault="00FD1A85">
            <w:pPr>
              <w:spacing w:before="20" w:after="20"/>
            </w:pPr>
            <w:r>
              <w:rPr>
                <w:i/>
                <w:iCs/>
                <w:color w:val="1A1A1A"/>
                <w:sz w:val="17"/>
                <w:szCs w:val="17"/>
              </w:rPr>
              <w:t>Describe HOW incentive efficacy is assessed — what methodology or criteria the company uses, and specifically whether or how the incentive structure is linked to the identification of salient human and labour rights issues in the value chain.</w:t>
            </w:r>
          </w:p>
        </w:tc>
      </w:tr>
      <w:tr w:rsidR="00AA05F7" w14:paraId="7997DD2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997DD28" w14:textId="77777777" w:rsidR="00AA05F7" w:rsidRDefault="00FD1A85">
            <w:pPr>
              <w:spacing w:before="20" w:after="20"/>
              <w:jc w:val="center"/>
            </w:pPr>
            <w:r>
              <w:rPr>
                <w:b/>
                <w:bCs/>
                <w:color w:val="1A1A1A"/>
                <w:sz w:val="17"/>
                <w:szCs w:val="17"/>
              </w:rPr>
              <w:t>28</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997DD29" w14:textId="77777777" w:rsidR="00AA05F7" w:rsidRDefault="00FD1A85">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997DD2A" w14:textId="77777777" w:rsidR="00AA05F7" w:rsidRDefault="00FD1A85">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7997DD2B" w14:textId="77777777" w:rsidR="00AA05F7" w:rsidRDefault="00FD1A85">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2C" w14:textId="77777777" w:rsidR="00AA05F7" w:rsidRDefault="00FD1A85">
            <w:pPr>
              <w:spacing w:before="20" w:after="20"/>
            </w:pPr>
            <w:r>
              <w:rPr>
                <w:color w:val="1A1A1A"/>
                <w:sz w:val="18"/>
                <w:szCs w:val="18"/>
              </w:rPr>
              <w:t>Q11.9 G2 describes the methods used to assess the efficacy of responsible sourcing incentives with substantive detail — explaining how the company evaluates whether its incentives are working, including (where applicable) whether incentives are linked to the identification of salient human and labour rights issues in the value chain.</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2D" w14:textId="77777777" w:rsidR="00AA05F7" w:rsidRDefault="00FD1A85">
            <w:pPr>
              <w:spacing w:before="20" w:after="20"/>
            </w:pPr>
            <w:r>
              <w:rPr>
                <w:i/>
                <w:iCs/>
                <w:color w:val="1A1A1A"/>
                <w:sz w:val="17"/>
                <w:szCs w:val="17"/>
              </w:rPr>
              <w:t>Highest level achieved. Maintain documentation of incentive efficacy assessment methodology and update as the responsible sourcing programme develops.</w:t>
            </w:r>
          </w:p>
        </w:tc>
      </w:tr>
      <w:tr w:rsidR="00AA05F7" w14:paraId="7997DD3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997DD2F" w14:textId="77777777" w:rsidR="00AA05F7" w:rsidRDefault="00FD1A85">
            <w:pPr>
              <w:spacing w:before="20" w:after="20"/>
              <w:jc w:val="center"/>
            </w:pPr>
            <w:r>
              <w:rPr>
                <w:b/>
                <w:bCs/>
                <w:color w:val="1A1A1A"/>
                <w:sz w:val="17"/>
                <w:szCs w:val="17"/>
              </w:rPr>
              <w:t>28</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997DD30" w14:textId="77777777" w:rsidR="00AA05F7" w:rsidRDefault="00FD1A85">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997DD31" w14:textId="77777777" w:rsidR="00AA05F7" w:rsidRDefault="00FD1A85">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997DD32" w14:textId="77777777" w:rsidR="00AA05F7" w:rsidRDefault="00FD1A85">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33" w14:textId="77777777" w:rsidR="00AA05F7" w:rsidRDefault="00FD1A85">
            <w:pPr>
              <w:spacing w:before="20" w:after="20"/>
            </w:pPr>
            <w:r>
              <w:rPr>
                <w:color w:val="1A1A1A"/>
                <w:sz w:val="18"/>
                <w:szCs w:val="18"/>
              </w:rPr>
              <w:t>Q11.9 G2 provides no evidence that responsible sourcing incentives are in operation or that any efficacy assessment has been conducted. Either incentives are not in place, or the company describes only planned incentives without confirming they are currently operating.</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34" w14:textId="77777777" w:rsidR="00AA05F7" w:rsidRDefault="00FD1A85">
            <w:pPr>
              <w:spacing w:before="20" w:after="20"/>
            </w:pPr>
            <w:r>
              <w:rPr>
                <w:i/>
                <w:iCs/>
                <w:color w:val="1A1A1A"/>
                <w:sz w:val="17"/>
                <w:szCs w:val="17"/>
              </w:rPr>
              <w:t>If responsible sourcing incentives are in place, confirm in Q11.9 G2 that they are currently operational and describe the results of any efficacy assessment conducted. If incentives are not yet in place, describe what is planned.</w:t>
            </w:r>
          </w:p>
        </w:tc>
      </w:tr>
      <w:tr w:rsidR="00AA05F7" w14:paraId="7997DD3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36" w14:textId="77777777" w:rsidR="00AA05F7" w:rsidRDefault="00FD1A85">
            <w:pPr>
              <w:spacing w:before="20" w:after="20"/>
              <w:jc w:val="center"/>
            </w:pPr>
            <w:r>
              <w:rPr>
                <w:b/>
                <w:bCs/>
                <w:color w:val="1A1A1A"/>
                <w:sz w:val="17"/>
                <w:szCs w:val="17"/>
              </w:rPr>
              <w:t>28</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37" w14:textId="77777777" w:rsidR="00AA05F7" w:rsidRDefault="00FD1A85">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38" w14:textId="77777777" w:rsidR="00AA05F7" w:rsidRDefault="00FD1A85">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97DD39" w14:textId="77777777" w:rsidR="00AA05F7" w:rsidRDefault="00FD1A85">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997DD3A" w14:textId="77777777" w:rsidR="00AA05F7" w:rsidRDefault="00FD1A85">
            <w:pPr>
              <w:spacing w:before="20" w:after="20"/>
            </w:pPr>
            <w:r>
              <w:rPr>
                <w:color w:val="1A1A1A"/>
                <w:sz w:val="18"/>
                <w:szCs w:val="18"/>
              </w:rPr>
              <w:t>Q11.9 G2 mentions that responsible sourcing incentives exist or are in operation, but does not confirm that an efficacy assessment has been conducted. The incentives are described as operational but without evidence that their effectiveness has been evaluated.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997DD3B" w14:textId="77777777" w:rsidR="00AA05F7" w:rsidRDefault="00FD1A85">
            <w:pPr>
              <w:spacing w:before="20" w:after="20"/>
            </w:pPr>
            <w:r>
              <w:rPr>
                <w:i/>
                <w:iCs/>
                <w:color w:val="1A1A1A"/>
                <w:sz w:val="17"/>
                <w:szCs w:val="17"/>
              </w:rPr>
              <w:t>Confirm that an efficacy assessment of the responsible sourcing incentives has been conducted — describe what the assessment found and whether the incentives were found to be effective in encouraging responsible sourcing.</w:t>
            </w:r>
          </w:p>
        </w:tc>
      </w:tr>
      <w:tr w:rsidR="00AA05F7" w14:paraId="7997DD4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997DD3D" w14:textId="77777777" w:rsidR="00AA05F7" w:rsidRDefault="00FD1A85">
            <w:pPr>
              <w:spacing w:before="20" w:after="20"/>
              <w:jc w:val="center"/>
            </w:pPr>
            <w:r>
              <w:rPr>
                <w:b/>
                <w:bCs/>
                <w:color w:val="1A1A1A"/>
                <w:sz w:val="17"/>
                <w:szCs w:val="17"/>
              </w:rPr>
              <w:t>28</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997DD3E" w14:textId="77777777" w:rsidR="00AA05F7" w:rsidRDefault="00FD1A85">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997DD3F" w14:textId="77777777" w:rsidR="00AA05F7" w:rsidRDefault="00FD1A85">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997DD40" w14:textId="77777777" w:rsidR="00AA05F7" w:rsidRDefault="00FD1A85">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41" w14:textId="77777777" w:rsidR="00AA05F7" w:rsidRDefault="00FD1A85">
            <w:pPr>
              <w:spacing w:before="20" w:after="20"/>
            </w:pPr>
            <w:r>
              <w:rPr>
                <w:color w:val="1A1A1A"/>
                <w:sz w:val="18"/>
                <w:szCs w:val="18"/>
              </w:rPr>
              <w:t>Q11.9 G2 confirms that responsible sourcing incentives are in operation AND that an assessment of their efficacy has been conducted. The response provides evidence of the implemented practice (incentives are operational) and evidence that the assessment has taken place (not merely that one is planned).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42" w14:textId="77777777" w:rsidR="00AA05F7" w:rsidRDefault="00FD1A85">
            <w:pPr>
              <w:spacing w:before="20" w:after="20"/>
            </w:pPr>
            <w:r>
              <w:rPr>
                <w:i/>
                <w:iCs/>
                <w:color w:val="1A1A1A"/>
                <w:sz w:val="17"/>
                <w:szCs w:val="17"/>
              </w:rPr>
              <w:t>Highest level achieved. Continue reporting on incentive operations and efficacy assessment outcomes annually.</w:t>
            </w:r>
          </w:p>
        </w:tc>
      </w:tr>
    </w:tbl>
    <w:p w14:paraId="7997DD44" w14:textId="77777777" w:rsidR="00AA05F7" w:rsidRDefault="00AA05F7">
      <w:pPr>
        <w:pBdr>
          <w:bottom w:val="single" w:sz="4" w:space="1" w:color="D9D9D9"/>
        </w:pBdr>
        <w:spacing w:before="240" w:after="240"/>
      </w:pPr>
    </w:p>
    <w:p w14:paraId="7997DD45" w14:textId="77777777" w:rsidR="00AA05F7" w:rsidRDefault="00FD1A85">
      <w:pPr>
        <w:pStyle w:val="Heading1"/>
        <w:spacing w:before="360" w:after="160"/>
      </w:pPr>
      <w:r>
        <w:rPr>
          <w:b/>
          <w:bCs/>
          <w:color w:val="1F3864"/>
          <w:sz w:val="34"/>
          <w:szCs w:val="34"/>
        </w:rPr>
        <w:t>4. Score Calculation</w:t>
      </w:r>
    </w:p>
    <w:p w14:paraId="7997DD46" w14:textId="77777777" w:rsidR="00AA05F7" w:rsidRDefault="00FD1A85">
      <w:pPr>
        <w:spacing w:before="80" w:after="80"/>
      </w:pPr>
      <w:r>
        <w:rPr>
          <w:color w:val="1A1A1A"/>
        </w:rPr>
        <w:t>Once Awareness, Approach, and Action sub-scores are assigned, the composite topic score is calculated using equal weighting across the three dimensions.</w:t>
      </w:r>
    </w:p>
    <w:p w14:paraId="7997DD47" w14:textId="77777777" w:rsidR="00AA05F7" w:rsidRDefault="00FD1A85">
      <w:pPr>
        <w:pStyle w:val="Heading2"/>
        <w:spacing w:before="280" w:after="120"/>
      </w:pPr>
      <w:r>
        <w:rPr>
          <w:b/>
          <w:bCs/>
          <w:color w:val="2E75B6"/>
        </w:rPr>
        <w:t>4.1  Formulas</w:t>
      </w:r>
    </w:p>
    <w:p w14:paraId="7997DD48" w14:textId="77777777" w:rsidR="00AA05F7" w:rsidRDefault="00FD1A85">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   (Awareness  +  Approach  +  Action)  ÷  3</w:t>
      </w:r>
    </w:p>
    <w:p w14:paraId="7997DD49" w14:textId="77777777" w:rsidR="00AA05F7" w:rsidRDefault="00FD1A85">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  ×  20</w:t>
      </w:r>
    </w:p>
    <w:p w14:paraId="7997DD4A" w14:textId="77777777" w:rsidR="00AA05F7" w:rsidRDefault="00FD1A85">
      <w:pPr>
        <w:spacing w:before="80" w:after="60"/>
      </w:pPr>
      <w:r>
        <w:rPr>
          <w:i/>
          <w:iCs/>
          <w:color w:val="666666"/>
          <w:sz w:val="17"/>
          <w:szCs w:val="17"/>
        </w:rPr>
        <w:lastRenderedPageBreak/>
        <w:t>All reported topic scores are on the 0–100 scale. Each dimension carries equal weight (33.3%). All three dimensions draw from a single always-applicable question (Q11.9). There are no gates and no Not Yet cap applies to this topic.</w:t>
      </w:r>
    </w:p>
    <w:p w14:paraId="7997DD4B" w14:textId="77777777" w:rsidR="00AA05F7" w:rsidRDefault="00FD1A85">
      <w:pPr>
        <w:pStyle w:val="Heading2"/>
        <w:spacing w:before="280" w:after="120"/>
      </w:pPr>
      <w:r>
        <w:rPr>
          <w:b/>
          <w:bCs/>
          <w:color w:val="2E75B6"/>
        </w:rPr>
        <w:t>4.2  Worked Examples</w:t>
      </w:r>
    </w:p>
    <w:p w14:paraId="7997DD4C" w14:textId="77777777" w:rsidR="00AA05F7" w:rsidRDefault="00FD1A85">
      <w:pPr>
        <w:spacing w:before="80" w:after="80"/>
      </w:pPr>
      <w:r>
        <w:rPr>
          <w:b/>
          <w:bCs/>
          <w:color w:val="2E75B6"/>
        </w:rPr>
        <w:t>Example A: Comprehensive high-risk area identification with incentive evidence</w:t>
      </w:r>
    </w:p>
    <w:p w14:paraId="7997DD4D" w14:textId="77777777" w:rsidR="00AA05F7" w:rsidRDefault="00FD1A85">
      <w:pPr>
        <w:spacing w:before="80" w:after="80"/>
      </w:pPr>
      <w:r>
        <w:rPr>
          <w:b/>
          <w:bCs/>
          <w:color w:val="1A1A1A"/>
          <w:sz w:val="19"/>
          <w:szCs w:val="19"/>
        </w:rPr>
        <w:t>Q11.9 Table:</w:t>
      </w:r>
    </w:p>
    <w:p w14:paraId="7997DD4E" w14:textId="77777777" w:rsidR="00AA05F7" w:rsidRDefault="00FD1A85">
      <w:pPr>
        <w:spacing w:before="80" w:after="80"/>
      </w:pPr>
      <w:r>
        <w:rPr>
          <w:color w:val="1A1A1A"/>
          <w:sz w:val="19"/>
          <w:szCs w:val="19"/>
        </w:rPr>
        <w:t>Forced Labour: Exposure: raw materials AND products. Business critical: Yes. Details: “Forced labour risk is most significant in our upstream cotton supply chain (Bangladesh, Uzbekistan sourcing), where we source approximately 38% of raw cotton. Uzbekistan-sourced cotton historically carried state-imposed forced labour risk. We ceased Uzbekistan sourcing in 2022 following our VC human rights assessment. Bangladesh-sourced cotton presents ongoing risk due to informal subcontracting in spinning mills. We cond</w:t>
      </w:r>
      <w:r>
        <w:rPr>
          <w:color w:val="1A1A1A"/>
          <w:sz w:val="19"/>
          <w:szCs w:val="19"/>
        </w:rPr>
        <w:t>uct annual Tier 2 mill audits specifically for forced labour indicators.”</w:t>
      </w:r>
    </w:p>
    <w:p w14:paraId="7997DD4F" w14:textId="77777777" w:rsidR="00AA05F7" w:rsidRDefault="00FD1A85">
      <w:pPr>
        <w:spacing w:before="80" w:after="80"/>
      </w:pPr>
      <w:r>
        <w:rPr>
          <w:color w:val="1A1A1A"/>
          <w:sz w:val="19"/>
          <w:szCs w:val="19"/>
        </w:rPr>
        <w:t>Modern Slavery: Exposure: raw materials. Business critical: Yes. Details: “Modern slavery risk exists in our leather supply chain (Brazil, India) due to informal tanning sector practices and debt bondage risk. Brazil represents 22% of leather spend. We engage the Brazilian Leather certification scheme for key suppliers.”</w:t>
      </w:r>
    </w:p>
    <w:p w14:paraId="7997DD50" w14:textId="77777777" w:rsidR="00AA05F7" w:rsidRDefault="00FD1A85">
      <w:pPr>
        <w:spacing w:before="80" w:after="80"/>
      </w:pPr>
      <w:r>
        <w:rPr>
          <w:color w:val="1A1A1A"/>
          <w:sz w:val="19"/>
          <w:szCs w:val="19"/>
        </w:rPr>
        <w:t>Human Trafficking: Exposure: services. Business critical: No. Details: “We have identified human trafficking risk in our logistics and transportation services in Southeast Asia, primarily concerning informal day-labour practices used by third-party logistics providers. Not critical to operations but present in our distribution network.”</w:t>
      </w:r>
    </w:p>
    <w:p w14:paraId="7997DD51" w14:textId="77777777" w:rsidR="00AA05F7" w:rsidRDefault="00FD1A85">
      <w:pPr>
        <w:spacing w:before="80" w:after="80"/>
      </w:pPr>
      <w:r>
        <w:rPr>
          <w:color w:val="1A1A1A"/>
          <w:sz w:val="19"/>
          <w:szCs w:val="19"/>
        </w:rPr>
        <w:t>Child Labour: Exposure: raw materials. Business critical: Yes. Details: “Child labour risk exists in cocoa and sugar inputs used in our confectionery product line, sourced from West Africa (Ivory Coast, Ghana). We participate in the CocoaAction initiative and have implemented the Cocoa &amp; Forests Initiative commitments.”</w:t>
      </w:r>
    </w:p>
    <w:p w14:paraId="7997DD52" w14:textId="77777777" w:rsidR="00AA05F7" w:rsidRDefault="00FD1A85">
      <w:pPr>
        <w:spacing w:before="80" w:after="80"/>
      </w:pPr>
      <w:r>
        <w:rPr>
          <w:color w:val="1A1A1A"/>
          <w:sz w:val="19"/>
          <w:szCs w:val="19"/>
        </w:rPr>
        <w:t>G2: “We assess incentive efficacy annually using a responsible sourcing scorecard that tracks whether supplier incentives (preferential contract terms, development support, price premiums) are correlated with improvements in human and labour rights audit outcomes. In 2024, suppliers receiving development support showed a 34% improvement in forced labour indicator audit scores versus a 12% improvement in the control group. Incentives are explicitly linked to identification and remediation of salient HR issue</w:t>
      </w:r>
      <w:r>
        <w:rPr>
          <w:color w:val="1A1A1A"/>
          <w:sz w:val="19"/>
          <w:szCs w:val="19"/>
        </w:rPr>
        <w:t>s, not merely compliance.”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AA05F7" w14:paraId="7997DD56"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D53" w14:textId="77777777" w:rsidR="00AA05F7" w:rsidRDefault="00FD1A85">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D54" w14:textId="77777777" w:rsidR="00AA05F7" w:rsidRDefault="00FD1A85">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D55" w14:textId="77777777" w:rsidR="00AA05F7" w:rsidRDefault="00FD1A85">
            <w:pPr>
              <w:jc w:val="center"/>
            </w:pPr>
            <w:r>
              <w:rPr>
                <w:b/>
                <w:bCs/>
                <w:color w:val="FFFFFF"/>
                <w:sz w:val="16"/>
                <w:szCs w:val="16"/>
              </w:rPr>
              <w:t>Calculation</w:t>
            </w:r>
          </w:p>
        </w:tc>
      </w:tr>
      <w:tr w:rsidR="00AA05F7" w14:paraId="7997DD5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57" w14:textId="77777777" w:rsidR="00AA05F7" w:rsidRDefault="00FD1A85">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58" w14:textId="77777777" w:rsidR="00AA05F7" w:rsidRDefault="00FD1A85">
            <w:pPr>
              <w:spacing w:before="20" w:after="20"/>
            </w:pPr>
            <w:r>
              <w:rPr>
                <w:color w:val="1A1A1A"/>
                <w:sz w:val="18"/>
                <w:szCs w:val="18"/>
              </w:rPr>
              <w:t>5 (Leading) — AND satisfied: all four rows engaged with exposure types + business criticality + substantive details specifying both the relevant materials/services AND the nature of risk exposure for each (geographic context, industry risk factors, specific supply chain dynamics). Risk types with no additional exposure explained.</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59" w14:textId="77777777" w:rsidR="00AA05F7" w:rsidRDefault="00AA05F7">
            <w:pPr>
              <w:spacing w:before="20" w:after="20"/>
            </w:pPr>
          </w:p>
        </w:tc>
      </w:tr>
      <w:tr w:rsidR="00AA05F7" w14:paraId="7997DD5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5B" w14:textId="77777777" w:rsidR="00AA05F7" w:rsidRDefault="00FD1A85">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5C" w14:textId="77777777" w:rsidR="00AA05F7" w:rsidRDefault="00FD1A85">
            <w:pPr>
              <w:spacing w:before="20" w:after="20"/>
            </w:pPr>
            <w:r>
              <w:rPr>
                <w:color w:val="1A1A1A"/>
                <w:sz w:val="18"/>
                <w:szCs w:val="18"/>
              </w:rPr>
              <w:t>5 (Leading) — G2 describes a specific assessment methodology: annual responsible sourcing scorecard tracking correlation between incentives and audit outcome improvements, with explicit linkage to identification of salient HR issues (not just compliance).</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5D" w14:textId="77777777" w:rsidR="00AA05F7" w:rsidRDefault="00AA05F7">
            <w:pPr>
              <w:spacing w:before="20" w:after="20"/>
            </w:pPr>
          </w:p>
        </w:tc>
      </w:tr>
      <w:tr w:rsidR="00AA05F7" w14:paraId="7997DD6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5F" w14:textId="77777777" w:rsidR="00AA05F7" w:rsidRDefault="00FD1A85">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60" w14:textId="77777777" w:rsidR="00AA05F7" w:rsidRDefault="00FD1A85">
            <w:pPr>
              <w:spacing w:before="20" w:after="20"/>
            </w:pPr>
            <w:r>
              <w:rPr>
                <w:color w:val="1A1A1A"/>
                <w:sz w:val="18"/>
                <w:szCs w:val="18"/>
              </w:rPr>
              <w:t>5 (Leading) — G2 confirms incentives are in operation (development support, preferential terms, price premiums) AND efficacy has been assessed (2024 assessment: 34% vs 12% improvement in audit scores). Both required elements present.</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61" w14:textId="77777777" w:rsidR="00AA05F7" w:rsidRDefault="00AA05F7">
            <w:pPr>
              <w:spacing w:before="20" w:after="20"/>
            </w:pPr>
          </w:p>
        </w:tc>
      </w:tr>
      <w:tr w:rsidR="00AA05F7" w14:paraId="7997DD6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997DD63" w14:textId="77777777" w:rsidR="00AA05F7" w:rsidRDefault="00FD1A85">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997DD64" w14:textId="77777777" w:rsidR="00AA05F7" w:rsidRDefault="00FD1A85">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997DD65" w14:textId="77777777" w:rsidR="00AA05F7" w:rsidRDefault="00FD1A85">
            <w:pPr>
              <w:spacing w:before="20" w:after="20"/>
            </w:pPr>
            <w:r>
              <w:rPr>
                <w:b/>
                <w:bCs/>
                <w:color w:val="1A1A1A"/>
                <w:sz w:val="19"/>
                <w:szCs w:val="19"/>
              </w:rPr>
              <w:t>Topic Score = 5.00 × 20 = 100 / 100</w:t>
            </w:r>
          </w:p>
        </w:tc>
      </w:tr>
    </w:tbl>
    <w:p w14:paraId="7997DD67" w14:textId="77777777" w:rsidR="00AA05F7" w:rsidRDefault="00FD1A85">
      <w:pPr>
        <w:spacing w:before="80" w:after="60"/>
      </w:pPr>
      <w:r>
        <w:rPr>
          <w:i/>
          <w:iCs/>
          <w:color w:val="666666"/>
          <w:sz w:val="17"/>
          <w:szCs w:val="17"/>
        </w:rPr>
        <w:t>Full marks. The 34% vs 12% audit improvement figure is the Action evidence — it confirms incentives are operational and their efficacy has been quantitatively assessed, not merely described as a methodology.</w:t>
      </w:r>
    </w:p>
    <w:p w14:paraId="7997DD68" w14:textId="77777777" w:rsidR="00AA05F7" w:rsidRDefault="00FD1A85">
      <w:pPr>
        <w:spacing w:before="240" w:after="80"/>
      </w:pPr>
      <w:r>
        <w:rPr>
          <w:b/>
          <w:bCs/>
          <w:color w:val="2E75B6"/>
        </w:rPr>
        <w:t>Example B: High-level risk identification, no incentive evidence</w:t>
      </w:r>
    </w:p>
    <w:p w14:paraId="7997DD69" w14:textId="77777777" w:rsidR="00AA05F7" w:rsidRDefault="00FD1A85">
      <w:pPr>
        <w:spacing w:before="80" w:after="80"/>
      </w:pPr>
      <w:r>
        <w:rPr>
          <w:b/>
          <w:bCs/>
          <w:color w:val="1A1A1A"/>
          <w:sz w:val="19"/>
          <w:szCs w:val="19"/>
        </w:rPr>
        <w:t>Q11.9 Table:</w:t>
      </w:r>
    </w:p>
    <w:p w14:paraId="7997DD6A" w14:textId="77777777" w:rsidR="00AA05F7" w:rsidRDefault="00FD1A85">
      <w:pPr>
        <w:spacing w:before="80" w:after="80"/>
      </w:pPr>
      <w:r>
        <w:rPr>
          <w:color w:val="1A1A1A"/>
          <w:sz w:val="19"/>
          <w:szCs w:val="19"/>
        </w:rPr>
        <w:t>Forced Labour: Exposure: raw materials. Business critical: Yes. Details: “We source raw materials from regions with known forced labour risks.”</w:t>
      </w:r>
    </w:p>
    <w:p w14:paraId="7997DD6B" w14:textId="77777777" w:rsidR="00AA05F7" w:rsidRDefault="00FD1A85">
      <w:pPr>
        <w:spacing w:before="80" w:after="80"/>
      </w:pPr>
      <w:r>
        <w:rPr>
          <w:color w:val="1A1A1A"/>
          <w:sz w:val="19"/>
          <w:szCs w:val="19"/>
        </w:rPr>
        <w:t>Modern Slavery: Exposure: (blank). Business critical: (blank). Details: blank.</w:t>
      </w:r>
    </w:p>
    <w:p w14:paraId="7997DD6C" w14:textId="77777777" w:rsidR="00AA05F7" w:rsidRDefault="00FD1A85">
      <w:pPr>
        <w:spacing w:before="80" w:after="80"/>
      </w:pPr>
      <w:r>
        <w:rPr>
          <w:color w:val="1A1A1A"/>
          <w:sz w:val="19"/>
          <w:szCs w:val="19"/>
        </w:rPr>
        <w:lastRenderedPageBreak/>
        <w:t>Human Trafficking: Exposure: (blank). Business critical: (blank). Details: blank.</w:t>
      </w:r>
    </w:p>
    <w:p w14:paraId="7997DD6D" w14:textId="77777777" w:rsidR="00AA05F7" w:rsidRDefault="00FD1A85">
      <w:pPr>
        <w:spacing w:before="80" w:after="80"/>
      </w:pPr>
      <w:r>
        <w:rPr>
          <w:color w:val="1A1A1A"/>
          <w:sz w:val="19"/>
          <w:szCs w:val="19"/>
        </w:rPr>
        <w:t>Child Labour: Exposure: raw materials. Business critical: Yes. Details: “Some raw materials may involve child labour risks.”</w:t>
      </w:r>
    </w:p>
    <w:p w14:paraId="7997DD6E" w14:textId="77777777" w:rsidR="00AA05F7" w:rsidRDefault="00FD1A85">
      <w:pPr>
        <w:spacing w:before="80" w:after="80"/>
      </w:pPr>
      <w:r>
        <w:rPr>
          <w:color w:val="1A1A1A"/>
          <w:sz w:val="19"/>
          <w:szCs w:val="19"/>
        </w:rPr>
        <w:t>G2: blank.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AA05F7" w14:paraId="7997DD72"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D6F" w14:textId="77777777" w:rsidR="00AA05F7" w:rsidRDefault="00FD1A85">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D70" w14:textId="77777777" w:rsidR="00AA05F7" w:rsidRDefault="00FD1A85">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97DD71" w14:textId="77777777" w:rsidR="00AA05F7" w:rsidRDefault="00FD1A85">
            <w:pPr>
              <w:jc w:val="center"/>
            </w:pPr>
            <w:r>
              <w:rPr>
                <w:b/>
                <w:bCs/>
                <w:color w:val="FFFFFF"/>
                <w:sz w:val="16"/>
                <w:szCs w:val="16"/>
              </w:rPr>
              <w:t>Calculation</w:t>
            </w:r>
          </w:p>
        </w:tc>
      </w:tr>
      <w:tr w:rsidR="00AA05F7" w14:paraId="7997DD7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73" w14:textId="77777777" w:rsidR="00AA05F7" w:rsidRDefault="00FD1A85">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74" w14:textId="77777777" w:rsidR="00AA05F7" w:rsidRDefault="00FD1A85">
            <w:pPr>
              <w:spacing w:before="20" w:after="20"/>
            </w:pPr>
            <w:r>
              <w:rPr>
                <w:color w:val="1A1A1A"/>
                <w:sz w:val="18"/>
                <w:szCs w:val="18"/>
              </w:rPr>
              <w:t>2 (Basic) — 2 rows engaged (Forced Labour + Child Labour) with exposure types and business criticality, but details are too generic to be specific — ‘regions with known risks’ and ‘may involve risks’ without naming any products, materials, geographies, or risk dynamics. Modern Slavery and Human Trafficking rows entirely blank.</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997DD75" w14:textId="77777777" w:rsidR="00AA05F7" w:rsidRDefault="00AA05F7">
            <w:pPr>
              <w:spacing w:before="20" w:after="20"/>
            </w:pPr>
          </w:p>
        </w:tc>
      </w:tr>
      <w:tr w:rsidR="00AA05F7" w14:paraId="7997DD7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77" w14:textId="77777777" w:rsidR="00AA05F7" w:rsidRDefault="00FD1A85">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78" w14:textId="77777777" w:rsidR="00AA05F7" w:rsidRDefault="00FD1A85">
            <w:pPr>
              <w:spacing w:before="20" w:after="20"/>
            </w:pPr>
            <w:r>
              <w:rPr>
                <w:color w:val="1A1A1A"/>
                <w:sz w:val="18"/>
                <w:szCs w:val="18"/>
              </w:rPr>
              <w:t>0 (No Approach) — G2 is blank. No information on incentive efficacy assessment methodology.</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997DD79" w14:textId="77777777" w:rsidR="00AA05F7" w:rsidRDefault="00AA05F7">
            <w:pPr>
              <w:spacing w:before="20" w:after="20"/>
            </w:pPr>
          </w:p>
        </w:tc>
      </w:tr>
      <w:tr w:rsidR="00AA05F7" w14:paraId="7997DD7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7B" w14:textId="77777777" w:rsidR="00AA05F7" w:rsidRDefault="00FD1A85">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7C" w14:textId="77777777" w:rsidR="00AA05F7" w:rsidRDefault="00FD1A85">
            <w:pPr>
              <w:spacing w:before="20" w:after="20"/>
            </w:pPr>
            <w:r>
              <w:rPr>
                <w:color w:val="1A1A1A"/>
                <w:sz w:val="18"/>
                <w:szCs w:val="18"/>
              </w:rPr>
              <w:t>0 (No Action) — G2 is blank. No evidence of responsible sourcing incentives in operation.</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997DD7D" w14:textId="77777777" w:rsidR="00AA05F7" w:rsidRDefault="00AA05F7">
            <w:pPr>
              <w:spacing w:before="20" w:after="20"/>
            </w:pPr>
          </w:p>
        </w:tc>
      </w:tr>
      <w:tr w:rsidR="00AA05F7" w14:paraId="7997DD8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997DD7F" w14:textId="77777777" w:rsidR="00AA05F7" w:rsidRDefault="00FD1A85">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997DD80" w14:textId="77777777" w:rsidR="00AA05F7" w:rsidRDefault="00FD1A85">
            <w:pPr>
              <w:spacing w:before="20" w:after="20"/>
            </w:pPr>
            <w:r>
              <w:rPr>
                <w:b/>
                <w:bCs/>
                <w:color w:val="1A1A1A"/>
                <w:sz w:val="19"/>
                <w:szCs w:val="19"/>
              </w:rPr>
              <w:t>(2 + 0 + 0) ÷ 3 = 0.67</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7997DD81" w14:textId="77777777" w:rsidR="00AA05F7" w:rsidRDefault="00FD1A85">
            <w:pPr>
              <w:spacing w:before="20" w:after="20"/>
            </w:pPr>
            <w:r>
              <w:rPr>
                <w:b/>
                <w:bCs/>
                <w:color w:val="1A1A1A"/>
                <w:sz w:val="19"/>
                <w:szCs w:val="19"/>
              </w:rPr>
              <w:t>Topic Score = 0.67 × 20 = 13 / 100</w:t>
            </w:r>
          </w:p>
        </w:tc>
      </w:tr>
    </w:tbl>
    <w:p w14:paraId="7997DD83" w14:textId="77777777" w:rsidR="00AA05F7" w:rsidRDefault="00FD1A85">
      <w:pPr>
        <w:spacing w:before="80" w:after="60"/>
      </w:pPr>
      <w:r>
        <w:rPr>
          <w:i/>
          <w:iCs/>
          <w:color w:val="666666"/>
          <w:sz w:val="17"/>
          <w:szCs w:val="17"/>
        </w:rPr>
        <w:t>13/100. Key gaps: (1) the details column for Forced Labour and Child Labour must name specific products, materials, and geographies — ‘known risk regions’ is not sufficient; (2) Modern Slavery and Human Trafficking rows need engagement, even if to explain why no exposure has been identified; (3) G2 needs to describe responsible sourcing incentives and how their efficacy is assessed.</w:t>
      </w:r>
    </w:p>
    <w:sectPr w:rsidR="00AA05F7">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8E101" w14:textId="77777777" w:rsidR="00FD1A85" w:rsidRDefault="00FD1A85" w:rsidP="009D3F30">
      <w:r>
        <w:separator/>
      </w:r>
    </w:p>
  </w:endnote>
  <w:endnote w:type="continuationSeparator" w:id="0">
    <w:p w14:paraId="320A744A" w14:textId="77777777" w:rsidR="00FD1A85" w:rsidRDefault="00FD1A85" w:rsidP="009D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25CD5" w14:textId="77777777" w:rsidR="009D3F30" w:rsidRDefault="009D3F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29655" w14:textId="77777777" w:rsidR="009D3F30" w:rsidRDefault="009D3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C62F" w14:textId="77777777" w:rsidR="009D3F30" w:rsidRDefault="009D3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1AB57" w14:textId="77777777" w:rsidR="00FD1A85" w:rsidRDefault="00FD1A85" w:rsidP="009D3F30">
      <w:r>
        <w:separator/>
      </w:r>
    </w:p>
  </w:footnote>
  <w:footnote w:type="continuationSeparator" w:id="0">
    <w:p w14:paraId="76CA6E38" w14:textId="77777777" w:rsidR="00FD1A85" w:rsidRDefault="00FD1A85" w:rsidP="009D3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23C4B" w14:textId="77777777" w:rsidR="009D3F30" w:rsidRDefault="009D3F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950649"/>
      <w:docPartObj>
        <w:docPartGallery w:val="Watermarks"/>
        <w:docPartUnique/>
      </w:docPartObj>
    </w:sdtPr>
    <w:sdtContent>
      <w:p w14:paraId="2373C671" w14:textId="7F3EFA70" w:rsidR="009D3F30" w:rsidRDefault="009D3F30">
        <w:pPr>
          <w:pStyle w:val="Header"/>
        </w:pPr>
        <w:r>
          <w:rPr>
            <w:noProof/>
          </w:rPr>
          <w:pict w14:anchorId="6977E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23DD6" w14:textId="77777777" w:rsidR="009D3F30" w:rsidRDefault="009D3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FF64B4"/>
    <w:multiLevelType w:val="hybridMultilevel"/>
    <w:tmpl w:val="3A121646"/>
    <w:lvl w:ilvl="0" w:tplc="C9B6F240">
      <w:start w:val="1"/>
      <w:numFmt w:val="bullet"/>
      <w:lvlText w:val="●"/>
      <w:lvlJc w:val="left"/>
      <w:pPr>
        <w:ind w:left="720" w:hanging="360"/>
      </w:pPr>
    </w:lvl>
    <w:lvl w:ilvl="1" w:tplc="0346DA3A">
      <w:start w:val="1"/>
      <w:numFmt w:val="bullet"/>
      <w:lvlText w:val="○"/>
      <w:lvlJc w:val="left"/>
      <w:pPr>
        <w:ind w:left="1440" w:hanging="360"/>
      </w:pPr>
    </w:lvl>
    <w:lvl w:ilvl="2" w:tplc="98BCD186">
      <w:start w:val="1"/>
      <w:numFmt w:val="bullet"/>
      <w:lvlText w:val="■"/>
      <w:lvlJc w:val="left"/>
      <w:pPr>
        <w:ind w:left="2160" w:hanging="360"/>
      </w:pPr>
    </w:lvl>
    <w:lvl w:ilvl="3" w:tplc="AA2E4978">
      <w:start w:val="1"/>
      <w:numFmt w:val="bullet"/>
      <w:lvlText w:val="●"/>
      <w:lvlJc w:val="left"/>
      <w:pPr>
        <w:ind w:left="2880" w:hanging="360"/>
      </w:pPr>
    </w:lvl>
    <w:lvl w:ilvl="4" w:tplc="06CC1648">
      <w:start w:val="1"/>
      <w:numFmt w:val="bullet"/>
      <w:lvlText w:val="○"/>
      <w:lvlJc w:val="left"/>
      <w:pPr>
        <w:ind w:left="3600" w:hanging="360"/>
      </w:pPr>
    </w:lvl>
    <w:lvl w:ilvl="5" w:tplc="2F148608">
      <w:start w:val="1"/>
      <w:numFmt w:val="bullet"/>
      <w:lvlText w:val="■"/>
      <w:lvlJc w:val="left"/>
      <w:pPr>
        <w:ind w:left="4320" w:hanging="360"/>
      </w:pPr>
    </w:lvl>
    <w:lvl w:ilvl="6" w:tplc="457E5200">
      <w:start w:val="1"/>
      <w:numFmt w:val="bullet"/>
      <w:lvlText w:val="●"/>
      <w:lvlJc w:val="left"/>
      <w:pPr>
        <w:ind w:left="5040" w:hanging="360"/>
      </w:pPr>
    </w:lvl>
    <w:lvl w:ilvl="7" w:tplc="446C3AD4">
      <w:start w:val="1"/>
      <w:numFmt w:val="bullet"/>
      <w:lvlText w:val="●"/>
      <w:lvlJc w:val="left"/>
      <w:pPr>
        <w:ind w:left="5760" w:hanging="360"/>
      </w:pPr>
    </w:lvl>
    <w:lvl w:ilvl="8" w:tplc="3F6459B4">
      <w:start w:val="1"/>
      <w:numFmt w:val="bullet"/>
      <w:lvlText w:val="●"/>
      <w:lvlJc w:val="left"/>
      <w:pPr>
        <w:ind w:left="6480" w:hanging="360"/>
      </w:pPr>
    </w:lvl>
  </w:abstractNum>
  <w:num w:numId="1" w16cid:durableId="198161375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5F7"/>
    <w:rsid w:val="009D3F30"/>
    <w:rsid w:val="00AA05F7"/>
    <w:rsid w:val="00BA5F60"/>
    <w:rsid w:val="00FD1A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7DCD6"/>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D3F30"/>
    <w:pPr>
      <w:tabs>
        <w:tab w:val="center" w:pos="4513"/>
        <w:tab w:val="right" w:pos="9026"/>
      </w:tabs>
    </w:pPr>
  </w:style>
  <w:style w:type="character" w:customStyle="1" w:styleId="HeaderChar">
    <w:name w:val="Header Char"/>
    <w:basedOn w:val="DefaultParagraphFont"/>
    <w:link w:val="Header"/>
    <w:uiPriority w:val="99"/>
    <w:rsid w:val="009D3F30"/>
  </w:style>
  <w:style w:type="paragraph" w:styleId="Footer">
    <w:name w:val="footer"/>
    <w:basedOn w:val="Normal"/>
    <w:link w:val="FooterChar"/>
    <w:uiPriority w:val="99"/>
    <w:unhideWhenUsed/>
    <w:rsid w:val="009D3F30"/>
    <w:pPr>
      <w:tabs>
        <w:tab w:val="center" w:pos="4513"/>
        <w:tab w:val="right" w:pos="9026"/>
      </w:tabs>
    </w:pPr>
  </w:style>
  <w:style w:type="character" w:customStyle="1" w:styleId="FooterChar">
    <w:name w:val="Footer Char"/>
    <w:basedOn w:val="DefaultParagraphFont"/>
    <w:link w:val="Footer"/>
    <w:uiPriority w:val="99"/>
    <w:rsid w:val="009D3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81DEC3-D6DD-4242-B327-123BCC262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2FE52-777F-4616-9779-6F538D008C48}">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3.xml><?xml version="1.0" encoding="utf-8"?>
<ds:datastoreItem xmlns:ds="http://schemas.openxmlformats.org/officeDocument/2006/customXml" ds:itemID="{36B7E9B7-8955-4BC9-97B6-7F9832E657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2789</Words>
  <Characters>15901</Characters>
  <Application>Microsoft Office Word</Application>
  <DocSecurity>0</DocSecurity>
  <Lines>132</Lines>
  <Paragraphs>37</Paragraphs>
  <ScaleCrop>false</ScaleCrop>
  <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2026-07-06T13:38:00Z</dcterms:created>
  <dcterms:modified xsi:type="dcterms:W3CDTF">2026-07-14T16:21:00Z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